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D8" w:rsidRDefault="007D47E9">
      <w:pPr>
        <w:widowControl/>
        <w:kinsoku w:val="0"/>
        <w:autoSpaceDE w:val="0"/>
        <w:autoSpaceDN w:val="0"/>
        <w:adjustRightInd w:val="0"/>
        <w:snapToGrid w:val="0"/>
        <w:spacing w:before="116" w:line="190" w:lineRule="auto"/>
        <w:jc w:val="center"/>
        <w:textAlignment w:val="baseline"/>
        <w:outlineLvl w:val="0"/>
        <w:rPr>
          <w:rFonts w:ascii="黑体" w:eastAsia="黑体" w:hAnsi="黑体" w:cs="微软雅黑"/>
          <w:b/>
          <w:bCs/>
          <w:snapToGrid w:val="0"/>
          <w:color w:val="000000"/>
          <w:kern w:val="0"/>
          <w:sz w:val="36"/>
          <w:szCs w:val="36"/>
          <w14:textOutline w14:w="31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附件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1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：第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四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届武汉理工大学</w:t>
      </w:r>
      <w:r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  <w:t>MPAcc</w:t>
      </w:r>
      <w:r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  <w:t>案例大赛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赛程具体安排</w:t>
      </w:r>
    </w:p>
    <w:p w:rsidR="004A4FD8" w:rsidRDefault="007D47E9">
      <w:pPr>
        <w:widowControl/>
        <w:shd w:val="clear" w:color="auto" w:fill="FFFFFF"/>
        <w:spacing w:line="384" w:lineRule="atLeast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一</w:t>
      </w:r>
      <w:r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、赛程安排</w:t>
      </w:r>
    </w:p>
    <w:tbl>
      <w:tblPr>
        <w:tblStyle w:val="a5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206"/>
        <w:gridCol w:w="4395"/>
        <w:gridCol w:w="2268"/>
      </w:tblGrid>
      <w:tr w:rsidR="004A4FD8">
        <w:trPr>
          <w:jc w:val="center"/>
        </w:trPr>
        <w:tc>
          <w:tcPr>
            <w:tcW w:w="6091" w:type="dxa"/>
            <w:gridSpan w:val="3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比赛流程</w:t>
            </w:r>
          </w:p>
        </w:tc>
        <w:tc>
          <w:tcPr>
            <w:tcW w:w="2268" w:type="dxa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ind w:rightChars="-53" w:right="-11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时间安排</w:t>
            </w:r>
          </w:p>
        </w:tc>
      </w:tr>
      <w:tr w:rsidR="004A4FD8">
        <w:trPr>
          <w:jc w:val="center"/>
        </w:trPr>
        <w:tc>
          <w:tcPr>
            <w:tcW w:w="490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报名</w:t>
            </w:r>
          </w:p>
        </w:tc>
        <w:tc>
          <w:tcPr>
            <w:tcW w:w="1206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学生组队</w:t>
            </w:r>
          </w:p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自行报名</w:t>
            </w:r>
          </w:p>
        </w:tc>
        <w:tc>
          <w:tcPr>
            <w:tcW w:w="4395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ind w:left="4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学生自由组队报名参赛，队伍成员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可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包含研究生和本科生，其中本科生不超过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人，每支队伍成员为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4-5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人，队长为研究生担当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每支队有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位指导教师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报名截止后队员及指导老师信息均不得修改。</w:t>
            </w:r>
          </w:p>
        </w:tc>
        <w:tc>
          <w:tcPr>
            <w:tcW w:w="2268" w:type="dxa"/>
            <w:vAlign w:val="center"/>
          </w:tcPr>
          <w:p w:rsidR="004A4FD8" w:rsidRDefault="007D47E9" w:rsidP="00853F12">
            <w:pPr>
              <w:tabs>
                <w:tab w:val="left" w:pos="2205"/>
              </w:tabs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sz w:val="24"/>
                <w:szCs w:val="24"/>
              </w:rPr>
              <w:t>12</w:t>
            </w:r>
            <w:r>
              <w:rPr>
                <w:rFonts w:ascii="仿宋" w:eastAsia="仿宋" w:hAnsi="仿宋" w:cs="宋体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27</w:t>
            </w:r>
            <w:r>
              <w:rPr>
                <w:rFonts w:ascii="仿宋" w:eastAsia="仿宋" w:hAnsi="仿宋" w:cs="宋体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sz w:val="24"/>
                <w:szCs w:val="24"/>
              </w:rPr>
              <w:t>月</w:t>
            </w:r>
            <w:r w:rsidR="00853F12">
              <w:rPr>
                <w:rFonts w:ascii="仿宋" w:eastAsia="仿宋" w:hAnsi="仿宋" w:cs="宋体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sz w:val="24"/>
                <w:szCs w:val="24"/>
              </w:rPr>
              <w:t>日</w:t>
            </w:r>
            <w:r w:rsidR="00853F12">
              <w:rPr>
                <w:rFonts w:ascii="仿宋" w:eastAsia="仿宋" w:hAnsi="仿宋" w:cs="宋体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sz w:val="24"/>
                <w:szCs w:val="24"/>
              </w:rPr>
              <w:t>:00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</w:tr>
      <w:tr w:rsidR="004A4FD8">
        <w:trPr>
          <w:jc w:val="center"/>
        </w:trPr>
        <w:tc>
          <w:tcPr>
            <w:tcW w:w="490" w:type="dxa"/>
            <w:vMerge w:val="restart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初赛</w:t>
            </w:r>
          </w:p>
        </w:tc>
        <w:tc>
          <w:tcPr>
            <w:tcW w:w="1206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公布案例调研方向</w:t>
            </w:r>
          </w:p>
        </w:tc>
        <w:tc>
          <w:tcPr>
            <w:tcW w:w="4395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疫情背景下企业风险管理与财务战略</w:t>
            </w:r>
          </w:p>
        </w:tc>
        <w:tc>
          <w:tcPr>
            <w:tcW w:w="2268" w:type="dxa"/>
            <w:vAlign w:val="center"/>
          </w:tcPr>
          <w:p w:rsidR="004A4FD8" w:rsidRDefault="004A4FD8">
            <w:pPr>
              <w:widowControl/>
              <w:shd w:val="clear" w:color="auto" w:fill="FFFFFF"/>
              <w:spacing w:line="384" w:lineRule="atLeast"/>
              <w:ind w:firstLine="298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A4FD8">
        <w:trPr>
          <w:jc w:val="center"/>
        </w:trPr>
        <w:tc>
          <w:tcPr>
            <w:tcW w:w="490" w:type="dxa"/>
            <w:vMerge/>
            <w:vAlign w:val="center"/>
          </w:tcPr>
          <w:p w:rsidR="004A4FD8" w:rsidRDefault="004A4FD8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参赛小组</w:t>
            </w:r>
          </w:p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提交报告</w:t>
            </w:r>
          </w:p>
        </w:tc>
        <w:tc>
          <w:tcPr>
            <w:tcW w:w="4395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ind w:left="3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各参赛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小组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提交案例分析报告，以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带目录的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PDF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格式（每支参赛队伍提交匿名和具名两份文档）发至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邮箱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somwhut@126.com</w:t>
            </w:r>
          </w:p>
        </w:tc>
        <w:tc>
          <w:tcPr>
            <w:tcW w:w="2268" w:type="dxa"/>
            <w:vAlign w:val="center"/>
          </w:tcPr>
          <w:p w:rsidR="004A4FD8" w:rsidRDefault="007D47E9" w:rsidP="00853F12">
            <w:pPr>
              <w:widowControl/>
              <w:shd w:val="clear" w:color="auto" w:fill="FFFFFF"/>
              <w:spacing w:line="384" w:lineRule="atLeas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sz w:val="24"/>
                <w:szCs w:val="24"/>
              </w:rPr>
              <w:t>月</w:t>
            </w:r>
            <w:r w:rsidR="00853F12">
              <w:rPr>
                <w:rFonts w:ascii="仿宋" w:eastAsia="仿宋" w:hAnsi="仿宋" w:cs="宋体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/>
                <w:sz w:val="24"/>
                <w:szCs w:val="24"/>
              </w:rPr>
              <w:t>18:00</w:t>
            </w:r>
            <w:r>
              <w:rPr>
                <w:rFonts w:ascii="仿宋" w:eastAsia="仿宋" w:hAnsi="仿宋" w:cs="宋体"/>
                <w:sz w:val="24"/>
                <w:szCs w:val="24"/>
              </w:rPr>
              <w:t>前</w:t>
            </w:r>
          </w:p>
        </w:tc>
      </w:tr>
      <w:tr w:rsidR="004A4FD8">
        <w:trPr>
          <w:trHeight w:val="411"/>
          <w:jc w:val="center"/>
        </w:trPr>
        <w:tc>
          <w:tcPr>
            <w:tcW w:w="490" w:type="dxa"/>
            <w:vMerge/>
            <w:vAlign w:val="center"/>
          </w:tcPr>
          <w:p w:rsidR="004A4FD8" w:rsidRDefault="004A4FD8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初赛评审</w:t>
            </w:r>
          </w:p>
          <w:p w:rsidR="004A4FD8" w:rsidRDefault="004A4FD8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网络评审</w:t>
            </w:r>
          </w:p>
        </w:tc>
        <w:tc>
          <w:tcPr>
            <w:tcW w:w="2268" w:type="dxa"/>
            <w:vAlign w:val="center"/>
          </w:tcPr>
          <w:p w:rsidR="004A4FD8" w:rsidRDefault="007D47E9" w:rsidP="00853F12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sz w:val="24"/>
                <w:szCs w:val="24"/>
              </w:rPr>
              <w:t>月</w:t>
            </w:r>
            <w:r w:rsidR="00853F12">
              <w:rPr>
                <w:rFonts w:ascii="仿宋" w:eastAsia="仿宋" w:hAnsi="仿宋" w:cs="宋体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/>
                <w:sz w:val="24"/>
                <w:szCs w:val="24"/>
              </w:rPr>
              <w:t>-3</w:t>
            </w:r>
            <w:r>
              <w:rPr>
                <w:rFonts w:ascii="仿宋" w:eastAsia="仿宋" w:hAnsi="仿宋" w:cs="宋体"/>
                <w:sz w:val="24"/>
                <w:szCs w:val="24"/>
              </w:rPr>
              <w:t>月</w:t>
            </w:r>
            <w:r w:rsidR="00853F12">
              <w:rPr>
                <w:rFonts w:ascii="仿宋" w:eastAsia="仿宋" w:hAnsi="仿宋" w:cs="宋体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sz w:val="24"/>
                <w:szCs w:val="24"/>
              </w:rPr>
              <w:t>日</w:t>
            </w:r>
          </w:p>
        </w:tc>
      </w:tr>
      <w:tr w:rsidR="004A4FD8">
        <w:trPr>
          <w:jc w:val="center"/>
        </w:trPr>
        <w:tc>
          <w:tcPr>
            <w:tcW w:w="490" w:type="dxa"/>
            <w:vMerge/>
            <w:vAlign w:val="center"/>
          </w:tcPr>
          <w:p w:rsidR="004A4FD8" w:rsidRDefault="004A4FD8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名单公布</w:t>
            </w:r>
          </w:p>
        </w:tc>
        <w:tc>
          <w:tcPr>
            <w:tcW w:w="4395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公布复赛名单</w:t>
            </w:r>
          </w:p>
        </w:tc>
        <w:tc>
          <w:tcPr>
            <w:tcW w:w="2268" w:type="dxa"/>
            <w:vAlign w:val="center"/>
          </w:tcPr>
          <w:p w:rsidR="004A4FD8" w:rsidRDefault="007D47E9" w:rsidP="00853F12">
            <w:pPr>
              <w:widowControl/>
              <w:shd w:val="clear" w:color="auto" w:fill="FFFFFF"/>
              <w:spacing w:line="384" w:lineRule="atLeas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853F12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4A4FD8">
        <w:trPr>
          <w:jc w:val="center"/>
        </w:trPr>
        <w:tc>
          <w:tcPr>
            <w:tcW w:w="490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复赛</w:t>
            </w:r>
          </w:p>
        </w:tc>
        <w:tc>
          <w:tcPr>
            <w:tcW w:w="1206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现场展示</w:t>
            </w:r>
          </w:p>
        </w:tc>
        <w:tc>
          <w:tcPr>
            <w:tcW w:w="4395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ind w:right="3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）入围复赛队伍通过抽签两两分组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每一组竞争队伍包含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分钟案例分析及解决方案陈述。</w:t>
            </w:r>
          </w:p>
          <w:p w:rsidR="004A4FD8" w:rsidRDefault="007D47E9">
            <w:pPr>
              <w:widowControl/>
              <w:shd w:val="clear" w:color="auto" w:fill="FFFFFF"/>
              <w:spacing w:line="384" w:lineRule="atLeast"/>
              <w:ind w:right="3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）评委根据选手现场表现，投票评选晋级决赛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或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支队伍。</w:t>
            </w:r>
          </w:p>
        </w:tc>
        <w:tc>
          <w:tcPr>
            <w:tcW w:w="2268" w:type="dxa"/>
            <w:vAlign w:val="center"/>
          </w:tcPr>
          <w:p w:rsidR="004A4FD8" w:rsidRDefault="007D47E9" w:rsidP="00853F12">
            <w:pPr>
              <w:widowControl/>
              <w:shd w:val="clear" w:color="auto" w:fill="FFFFFF"/>
              <w:spacing w:line="384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sz w:val="24"/>
                <w:szCs w:val="24"/>
              </w:rPr>
              <w:t>月</w:t>
            </w:r>
            <w:bookmarkStart w:id="0" w:name="_GoBack"/>
            <w:bookmarkEnd w:id="0"/>
            <w:r w:rsidR="00853F12">
              <w:rPr>
                <w:rFonts w:ascii="仿宋" w:eastAsia="仿宋" w:hAnsi="仿宋" w:cs="宋体"/>
                <w:sz w:val="24"/>
                <w:szCs w:val="24"/>
              </w:rPr>
              <w:t>9</w:t>
            </w:r>
            <w:r>
              <w:rPr>
                <w:rFonts w:ascii="仿宋" w:eastAsia="仿宋" w:hAnsi="仿宋" w:cs="宋体"/>
                <w:sz w:val="24"/>
                <w:szCs w:val="24"/>
              </w:rPr>
              <w:t>日周六全天</w:t>
            </w:r>
          </w:p>
        </w:tc>
      </w:tr>
      <w:tr w:rsidR="004A4FD8">
        <w:trPr>
          <w:jc w:val="center"/>
        </w:trPr>
        <w:tc>
          <w:tcPr>
            <w:tcW w:w="490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决赛</w:t>
            </w:r>
          </w:p>
        </w:tc>
        <w:tc>
          <w:tcPr>
            <w:tcW w:w="1206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现场展示</w:t>
            </w:r>
          </w:p>
        </w:tc>
        <w:tc>
          <w:tcPr>
            <w:tcW w:w="4395" w:type="dxa"/>
            <w:vAlign w:val="center"/>
          </w:tcPr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入围决赛前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或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团队现场展示，每支队伍包含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分钟案例分析及解决方案陈述；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分钟现场评委和参赛队伍提问。</w:t>
            </w:r>
          </w:p>
          <w:p w:rsidR="004A4FD8" w:rsidRDefault="007D47E9"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）评委根据选手现场表现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评选团队一、二、三等奖及个人单项奖。</w:t>
            </w:r>
          </w:p>
        </w:tc>
        <w:tc>
          <w:tcPr>
            <w:tcW w:w="2268" w:type="dxa"/>
            <w:vAlign w:val="center"/>
          </w:tcPr>
          <w:p w:rsidR="004A4FD8" w:rsidRDefault="007D47E9" w:rsidP="00853F12">
            <w:pPr>
              <w:widowControl/>
              <w:shd w:val="clear" w:color="auto" w:fill="FFFFFF"/>
              <w:spacing w:line="384" w:lineRule="atLeas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sz w:val="24"/>
                <w:szCs w:val="24"/>
              </w:rPr>
              <w:t>月</w:t>
            </w:r>
            <w:r w:rsidR="00853F12">
              <w:rPr>
                <w:rFonts w:ascii="仿宋" w:eastAsia="仿宋" w:hAnsi="仿宋" w:cs="宋体"/>
                <w:sz w:val="24"/>
                <w:szCs w:val="24"/>
              </w:rPr>
              <w:t>10</w:t>
            </w:r>
            <w:r>
              <w:rPr>
                <w:rFonts w:ascii="仿宋" w:eastAsia="仿宋" w:hAnsi="仿宋" w:cs="宋体"/>
                <w:sz w:val="24"/>
                <w:szCs w:val="24"/>
              </w:rPr>
              <w:t>日周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/>
                <w:sz w:val="24"/>
                <w:szCs w:val="24"/>
              </w:rPr>
              <w:t>全天</w:t>
            </w:r>
          </w:p>
        </w:tc>
      </w:tr>
    </w:tbl>
    <w:p w:rsidR="004A4FD8" w:rsidRDefault="007D47E9">
      <w:pPr>
        <w:widowControl/>
        <w:shd w:val="clear" w:color="auto" w:fill="FFFFFF"/>
        <w:spacing w:line="384" w:lineRule="atLeast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二、</w:t>
      </w:r>
      <w:r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比赛流程（复赛、决赛）</w:t>
      </w:r>
    </w:p>
    <w:p w:rsidR="004A4FD8" w:rsidRDefault="007D47E9">
      <w:pPr>
        <w:widowControl/>
        <w:shd w:val="clear" w:color="auto" w:fill="FFFFFF"/>
        <w:spacing w:line="384" w:lineRule="atLeast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、</w:t>
      </w:r>
      <w:r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复赛</w:t>
      </w:r>
    </w:p>
    <w:p w:rsidR="004A4FD8" w:rsidRDefault="007D47E9">
      <w:pPr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（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1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）晋级复赛的团队提前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24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小时通过抽签两两分组，一对一淘汰。</w:t>
      </w:r>
    </w:p>
    <w:p w:rsidR="004A4FD8" w:rsidRDefault="007D47E9">
      <w:pPr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（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2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）分组双方需在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24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小时内互相研究、分析对方在初赛提交的案例及解决方案，并就对方案例提出己方的解决方案。</w:t>
      </w:r>
    </w:p>
    <w:p w:rsidR="004A4FD8" w:rsidRDefault="007D47E9">
      <w:pPr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（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3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）每个赛场配奇数个现场评委，每</w:t>
      </w: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组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双方通过现场陈述与辩论展现自身能力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lastRenderedPageBreak/>
        <w:t>水平，由评委通过现场投票的形式决定晋级决赛的团队。</w:t>
      </w:r>
    </w:p>
    <w:p w:rsidR="004A4FD8" w:rsidRDefault="007D47E9">
      <w:pPr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（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4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）具体安排</w:t>
      </w:r>
    </w:p>
    <w:p w:rsidR="004A4FD8" w:rsidRDefault="007D47E9">
      <w:pPr>
        <w:ind w:firstLineChars="200" w:firstLine="480"/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复赛前一日，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各队参加抽签</w:t>
      </w: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，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根据抽签情况向各队伍下达比赛用案例</w:t>
      </w: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。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复赛当天各分组队伍依次进行比赛。</w:t>
      </w:r>
    </w:p>
    <w:p w:rsidR="004A4FD8" w:rsidRDefault="007D47E9">
      <w:pPr>
        <w:ind w:firstLineChars="200" w:firstLine="480"/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流程如下表：</w:t>
      </w:r>
    </w:p>
    <w:tbl>
      <w:tblPr>
        <w:tblW w:w="87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313"/>
        <w:gridCol w:w="714"/>
        <w:gridCol w:w="2631"/>
        <w:gridCol w:w="724"/>
        <w:gridCol w:w="1277"/>
      </w:tblGrid>
      <w:tr w:rsidR="004A4FD8">
        <w:trPr>
          <w:trHeight w:val="1071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出场</w:t>
            </w:r>
          </w:p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顺序</w:t>
            </w:r>
          </w:p>
        </w:tc>
        <w:tc>
          <w:tcPr>
            <w:tcW w:w="30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队流程</w:t>
            </w:r>
          </w:p>
        </w:tc>
        <w:tc>
          <w:tcPr>
            <w:tcW w:w="33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队流程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出场顺序</w:t>
            </w:r>
          </w:p>
        </w:tc>
      </w:tr>
      <w:tr w:rsidR="004A4FD8">
        <w:trPr>
          <w:trHeight w:val="350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号队员陈述己方案例。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分钟</w:t>
            </w:r>
          </w:p>
        </w:tc>
        <w:tc>
          <w:tcPr>
            <w:tcW w:w="33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4A4FD8">
        <w:trPr>
          <w:trHeight w:val="365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号队员陈述己方解决方案。</w:t>
            </w:r>
          </w:p>
        </w:tc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33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4A4FD8">
        <w:trPr>
          <w:trHeight w:val="731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号队员陈述己方对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队案例的解决方案。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分钟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4A4FD8">
        <w:trPr>
          <w:trHeight w:val="365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8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双方自由辩论。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4A4FD8">
        <w:trPr>
          <w:trHeight w:val="365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号队员陈述己方案例。</w:t>
            </w:r>
          </w:p>
        </w:tc>
        <w:tc>
          <w:tcPr>
            <w:tcW w:w="7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分钟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</w:tr>
      <w:tr w:rsidR="004A4FD8">
        <w:trPr>
          <w:trHeight w:val="365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号队员陈述己方解决方案。</w:t>
            </w:r>
          </w:p>
        </w:tc>
        <w:tc>
          <w:tcPr>
            <w:tcW w:w="7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</w:tr>
      <w:tr w:rsidR="004A4FD8">
        <w:trPr>
          <w:trHeight w:val="731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号队员陈述己方对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队案例的解决方案。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33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4A4FD8">
        <w:trPr>
          <w:trHeight w:val="562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8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双方自由辩论。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4A4FD8">
        <w:trPr>
          <w:trHeight w:val="671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号队员进行总结。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33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4A4FD8">
        <w:trPr>
          <w:trHeight w:val="561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号队员进行总结。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</w:tr>
      <w:tr w:rsidR="004A4FD8">
        <w:trPr>
          <w:trHeight w:val="553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38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评委点评，投票。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分钟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4A4FD8">
        <w:trPr>
          <w:trHeight w:val="842"/>
          <w:tblCellSpacing w:w="0" w:type="dxa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8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7D47E9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总计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Cs w:val="21"/>
              </w:rPr>
              <w:t>32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D8" w:rsidRDefault="004A4FD8">
            <w:pPr>
              <w:widowControl/>
              <w:spacing w:line="39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4A4FD8" w:rsidRDefault="004A4FD8">
      <w:pPr>
        <w:ind w:firstLineChars="200" w:firstLine="480"/>
        <w:rPr>
          <w:rFonts w:ascii="Calibri" w:eastAsia="仿宋" w:hAnsi="Calibri" w:cs="Calibri"/>
          <w:color w:val="333333"/>
          <w:kern w:val="0"/>
          <w:sz w:val="24"/>
          <w:szCs w:val="24"/>
        </w:rPr>
      </w:pPr>
    </w:p>
    <w:p w:rsidR="004A4FD8" w:rsidRDefault="004A4FD8">
      <w:pPr>
        <w:ind w:firstLineChars="200" w:firstLine="480"/>
        <w:rPr>
          <w:rFonts w:ascii="Calibri" w:eastAsia="仿宋" w:hAnsi="Calibri" w:cs="Calibri"/>
          <w:color w:val="333333"/>
          <w:kern w:val="0"/>
          <w:sz w:val="24"/>
          <w:szCs w:val="24"/>
        </w:rPr>
      </w:pPr>
    </w:p>
    <w:p w:rsidR="004A4FD8" w:rsidRDefault="007D47E9">
      <w:pPr>
        <w:widowControl/>
        <w:shd w:val="clear" w:color="auto" w:fill="FFFFFF"/>
        <w:spacing w:line="384" w:lineRule="atLeast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、</w:t>
      </w:r>
      <w:r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决赛</w:t>
      </w:r>
    </w:p>
    <w:p w:rsidR="004A4FD8" w:rsidRDefault="007D47E9">
      <w:pPr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（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1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）晋级决赛的团队需在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16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小时内研究、分析其余晋级团队在初赛提交的案例及解决方案。</w:t>
      </w:r>
    </w:p>
    <w:p w:rsidR="004A4FD8" w:rsidRDefault="007D47E9">
      <w:pPr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（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2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）各晋级决赛团队需依次陈述己方在初赛提交的案例及解决方案，并接受其余晋级队伍及评委的现场提问。</w:t>
      </w:r>
    </w:p>
    <w:p w:rsidR="004A4FD8" w:rsidRDefault="007D47E9">
      <w:pPr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（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3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）评委现场打分，并根据得分情况确定各队排名。</w:t>
      </w:r>
    </w:p>
    <w:p w:rsidR="004A4FD8" w:rsidRDefault="007D47E9">
      <w:pPr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（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4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）具体流程</w:t>
      </w:r>
    </w:p>
    <w:p w:rsidR="004A4FD8" w:rsidRDefault="007D47E9">
      <w:pPr>
        <w:ind w:firstLineChars="200" w:firstLine="480"/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lastRenderedPageBreak/>
        <w:t>决赛前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16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小时，参赛队伍（含承办单位直接晋级决赛的团队）通过抽签三三分组并抽取主客顺序，比赛时，同组三支队伍同时上场，一主两客，主队陈述，客队提问，主队回答，循环三轮，比赛结束，由评委直接打分。决赛当天直接按照评分评出各参赛团队名次。</w:t>
      </w:r>
    </w:p>
    <w:p w:rsidR="004A4FD8" w:rsidRDefault="007D47E9">
      <w:pPr>
        <w:ind w:firstLineChars="200" w:firstLine="480"/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流程如下表：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5529"/>
        <w:gridCol w:w="1581"/>
      </w:tblGrid>
      <w:tr w:rsidR="004A4FD8">
        <w:trPr>
          <w:trHeight w:val="622"/>
        </w:trPr>
        <w:tc>
          <w:tcPr>
            <w:tcW w:w="1233" w:type="dxa"/>
            <w:vAlign w:val="center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比赛程序</w:t>
            </w:r>
          </w:p>
        </w:tc>
        <w:tc>
          <w:tcPr>
            <w:tcW w:w="5835" w:type="dxa"/>
            <w:vAlign w:val="center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比赛内容</w:t>
            </w:r>
          </w:p>
        </w:tc>
        <w:tc>
          <w:tcPr>
            <w:tcW w:w="1652" w:type="dxa"/>
            <w:vAlign w:val="center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时间控制</w:t>
            </w:r>
          </w:p>
        </w:tc>
      </w:tr>
      <w:tr w:rsidR="004A4FD8">
        <w:trPr>
          <w:trHeight w:val="622"/>
        </w:trPr>
        <w:tc>
          <w:tcPr>
            <w:tcW w:w="8720" w:type="dxa"/>
            <w:gridSpan w:val="3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第一场（共计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分钟）</w:t>
            </w:r>
          </w:p>
        </w:tc>
      </w:tr>
      <w:tr w:rsidR="004A4FD8">
        <w:trPr>
          <w:trHeight w:val="622"/>
        </w:trPr>
        <w:tc>
          <w:tcPr>
            <w:tcW w:w="1233" w:type="dxa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:rsidR="004A4FD8" w:rsidRDefault="007D47E9">
            <w:pPr>
              <w:widowControl/>
              <w:spacing w:line="48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号队员陈述己方案例。</w:t>
            </w:r>
          </w:p>
        </w:tc>
        <w:tc>
          <w:tcPr>
            <w:tcW w:w="1652" w:type="dxa"/>
            <w:vMerge w:val="restart"/>
          </w:tcPr>
          <w:p w:rsidR="004A4FD8" w:rsidRDefault="004A4FD8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4A4FD8" w:rsidRDefault="004A4FD8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4A4FD8">
        <w:trPr>
          <w:trHeight w:val="622"/>
        </w:trPr>
        <w:tc>
          <w:tcPr>
            <w:tcW w:w="1233" w:type="dxa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:rsidR="004A4FD8" w:rsidRDefault="007D47E9">
            <w:pPr>
              <w:widowControl/>
              <w:spacing w:line="48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号队员由该案例所发现的问题。</w:t>
            </w:r>
          </w:p>
        </w:tc>
        <w:tc>
          <w:tcPr>
            <w:tcW w:w="1652" w:type="dxa"/>
            <w:vMerge/>
          </w:tcPr>
          <w:p w:rsidR="004A4FD8" w:rsidRDefault="004A4FD8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A4FD8">
        <w:trPr>
          <w:trHeight w:val="622"/>
        </w:trPr>
        <w:tc>
          <w:tcPr>
            <w:tcW w:w="1233" w:type="dxa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35" w:type="dxa"/>
          </w:tcPr>
          <w:p w:rsidR="004A4FD8" w:rsidRDefault="007D47E9">
            <w:pPr>
              <w:widowControl/>
              <w:spacing w:line="48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号队员陈述如何解决问题。</w:t>
            </w:r>
          </w:p>
        </w:tc>
        <w:tc>
          <w:tcPr>
            <w:tcW w:w="1652" w:type="dxa"/>
            <w:vMerge/>
          </w:tcPr>
          <w:p w:rsidR="004A4FD8" w:rsidRDefault="004A4FD8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A4FD8">
        <w:trPr>
          <w:trHeight w:val="622"/>
        </w:trPr>
        <w:tc>
          <w:tcPr>
            <w:tcW w:w="1233" w:type="dxa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35" w:type="dxa"/>
          </w:tcPr>
          <w:p w:rsidR="004A4FD8" w:rsidRDefault="007D47E9">
            <w:pPr>
              <w:widowControl/>
              <w:spacing w:line="48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号队员陈述该解决方案的现实意义。</w:t>
            </w:r>
          </w:p>
        </w:tc>
        <w:tc>
          <w:tcPr>
            <w:tcW w:w="1652" w:type="dxa"/>
            <w:vMerge/>
          </w:tcPr>
          <w:p w:rsidR="004A4FD8" w:rsidRDefault="004A4FD8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A4FD8">
        <w:trPr>
          <w:trHeight w:val="622"/>
        </w:trPr>
        <w:tc>
          <w:tcPr>
            <w:tcW w:w="1233" w:type="dxa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35" w:type="dxa"/>
          </w:tcPr>
          <w:p w:rsidR="004A4FD8" w:rsidRDefault="007D47E9">
            <w:pPr>
              <w:widowControl/>
              <w:spacing w:line="48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两队针对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队案例与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队进行辩论，自由展示。</w:t>
            </w:r>
          </w:p>
        </w:tc>
        <w:tc>
          <w:tcPr>
            <w:tcW w:w="1652" w:type="dxa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4A4FD8">
        <w:trPr>
          <w:trHeight w:val="622"/>
        </w:trPr>
        <w:tc>
          <w:tcPr>
            <w:tcW w:w="8720" w:type="dxa"/>
            <w:gridSpan w:val="3"/>
            <w:vAlign w:val="center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ABC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三支队伍依次交换攻守方，一共三轮</w:t>
            </w:r>
          </w:p>
        </w:tc>
      </w:tr>
      <w:tr w:rsidR="004A4FD8">
        <w:trPr>
          <w:trHeight w:val="622"/>
        </w:trPr>
        <w:tc>
          <w:tcPr>
            <w:tcW w:w="1233" w:type="dxa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35" w:type="dxa"/>
          </w:tcPr>
          <w:p w:rsidR="004A4FD8" w:rsidRDefault="007D47E9">
            <w:pPr>
              <w:widowControl/>
              <w:spacing w:line="480" w:lineRule="atLeas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评委对各队表现进行打分。</w:t>
            </w:r>
          </w:p>
        </w:tc>
        <w:tc>
          <w:tcPr>
            <w:tcW w:w="1652" w:type="dxa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4A4FD8">
        <w:trPr>
          <w:trHeight w:val="622"/>
        </w:trPr>
        <w:tc>
          <w:tcPr>
            <w:tcW w:w="8720" w:type="dxa"/>
            <w:gridSpan w:val="3"/>
          </w:tcPr>
          <w:p w:rsidR="004A4FD8" w:rsidRDefault="007D47E9">
            <w:pPr>
              <w:widowControl/>
              <w:spacing w:line="480" w:lineRule="atLeas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第二场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（流程与第一场相同，共计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分钟）</w:t>
            </w:r>
          </w:p>
        </w:tc>
      </w:tr>
    </w:tbl>
    <w:p w:rsidR="004A4FD8" w:rsidRDefault="004A4FD8">
      <w:pPr>
        <w:ind w:firstLineChars="200" w:firstLine="480"/>
        <w:rPr>
          <w:rFonts w:ascii="Calibri" w:eastAsia="仿宋" w:hAnsi="Calibri" w:cs="Calibri"/>
          <w:color w:val="333333"/>
          <w:kern w:val="0"/>
          <w:sz w:val="24"/>
          <w:szCs w:val="24"/>
        </w:rPr>
      </w:pPr>
    </w:p>
    <w:p w:rsidR="004A4FD8" w:rsidRDefault="004A4FD8">
      <w:pPr>
        <w:ind w:firstLineChars="200" w:firstLine="480"/>
        <w:rPr>
          <w:rFonts w:ascii="Calibri" w:eastAsia="仿宋" w:hAnsi="Calibri" w:cs="Calibri"/>
          <w:color w:val="333333"/>
          <w:kern w:val="0"/>
          <w:sz w:val="24"/>
          <w:szCs w:val="24"/>
        </w:rPr>
      </w:pPr>
    </w:p>
    <w:p w:rsidR="004A4FD8" w:rsidRDefault="007D47E9">
      <w:pPr>
        <w:ind w:firstLineChars="200" w:firstLine="480"/>
        <w:rPr>
          <w:rFonts w:ascii="Calibri" w:eastAsia="仿宋" w:hAnsi="Calibri" w:cs="Calibri"/>
          <w:color w:val="333333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333333"/>
          <w:kern w:val="0"/>
          <w:sz w:val="24"/>
          <w:szCs w:val="24"/>
        </w:rPr>
        <w:t>所有队伍陈述完毕后，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汇总每支队伍的案例报告得分</w:t>
      </w:r>
      <w:r>
        <w:rPr>
          <w:rFonts w:ascii="Calibri" w:eastAsia="仿宋" w:hAnsi="Calibri" w:cs="Calibri"/>
          <w:kern w:val="0"/>
          <w:sz w:val="24"/>
          <w:szCs w:val="24"/>
        </w:rPr>
        <w:t>（总分</w:t>
      </w:r>
      <w:r>
        <w:rPr>
          <w:rFonts w:ascii="Calibri" w:eastAsia="仿宋" w:hAnsi="Calibri" w:cs="Calibri"/>
          <w:kern w:val="0"/>
          <w:sz w:val="24"/>
          <w:szCs w:val="24"/>
        </w:rPr>
        <w:t>50</w:t>
      </w:r>
      <w:r>
        <w:rPr>
          <w:rFonts w:ascii="Calibri" w:eastAsia="仿宋" w:hAnsi="Calibri" w:cs="Calibri"/>
          <w:kern w:val="0"/>
          <w:sz w:val="24"/>
          <w:szCs w:val="24"/>
        </w:rPr>
        <w:t>分）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和现场表现得分（总分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50</w:t>
      </w:r>
      <w:r>
        <w:rPr>
          <w:rFonts w:ascii="Calibri" w:eastAsia="仿宋" w:hAnsi="Calibri" w:cs="Calibri"/>
          <w:color w:val="333333"/>
          <w:kern w:val="0"/>
          <w:sz w:val="24"/>
          <w:szCs w:val="24"/>
        </w:rPr>
        <w:t>分），得出每支队伍的总得分。</w:t>
      </w:r>
    </w:p>
    <w:p w:rsidR="004A4FD8" w:rsidRDefault="004A4FD8">
      <w:pPr>
        <w:rPr>
          <w:rFonts w:ascii="微软雅黑" w:eastAsia="微软雅黑" w:hAnsi="微软雅黑"/>
        </w:rPr>
      </w:pPr>
    </w:p>
    <w:sectPr w:rsidR="004A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E9" w:rsidRDefault="007D47E9" w:rsidP="00853F12">
      <w:r>
        <w:separator/>
      </w:r>
    </w:p>
  </w:endnote>
  <w:endnote w:type="continuationSeparator" w:id="0">
    <w:p w:rsidR="007D47E9" w:rsidRDefault="007D47E9" w:rsidP="0085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E9" w:rsidRDefault="007D47E9" w:rsidP="00853F12">
      <w:r>
        <w:separator/>
      </w:r>
    </w:p>
  </w:footnote>
  <w:footnote w:type="continuationSeparator" w:id="0">
    <w:p w:rsidR="007D47E9" w:rsidRDefault="007D47E9" w:rsidP="00853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NDM2NLawMDM2NzNW0lEKTi0uzszPAykwrAUAssZnCCwAAAA="/>
  </w:docVars>
  <w:rsids>
    <w:rsidRoot w:val="00C745FE"/>
    <w:rsid w:val="00016316"/>
    <w:rsid w:val="000326C5"/>
    <w:rsid w:val="00076695"/>
    <w:rsid w:val="001867EB"/>
    <w:rsid w:val="00187549"/>
    <w:rsid w:val="002C1226"/>
    <w:rsid w:val="002C5060"/>
    <w:rsid w:val="002E2960"/>
    <w:rsid w:val="00330049"/>
    <w:rsid w:val="00347F08"/>
    <w:rsid w:val="003A3E22"/>
    <w:rsid w:val="00406536"/>
    <w:rsid w:val="004A4FD8"/>
    <w:rsid w:val="004E2C0E"/>
    <w:rsid w:val="004E4868"/>
    <w:rsid w:val="00524A38"/>
    <w:rsid w:val="00531D99"/>
    <w:rsid w:val="0055089D"/>
    <w:rsid w:val="00580D9E"/>
    <w:rsid w:val="00584210"/>
    <w:rsid w:val="005D11FF"/>
    <w:rsid w:val="006B58E5"/>
    <w:rsid w:val="00740A4F"/>
    <w:rsid w:val="00754E4C"/>
    <w:rsid w:val="00757DFF"/>
    <w:rsid w:val="007921D5"/>
    <w:rsid w:val="007C08D0"/>
    <w:rsid w:val="007D47E9"/>
    <w:rsid w:val="00842F38"/>
    <w:rsid w:val="00853F12"/>
    <w:rsid w:val="009C056B"/>
    <w:rsid w:val="009D2DA9"/>
    <w:rsid w:val="009D5686"/>
    <w:rsid w:val="009F358F"/>
    <w:rsid w:val="00BF4209"/>
    <w:rsid w:val="00C645C5"/>
    <w:rsid w:val="00C72697"/>
    <w:rsid w:val="00C745FE"/>
    <w:rsid w:val="00C92653"/>
    <w:rsid w:val="00CA5759"/>
    <w:rsid w:val="00D9621A"/>
    <w:rsid w:val="00DC34F8"/>
    <w:rsid w:val="00E03F60"/>
    <w:rsid w:val="00EE0900"/>
    <w:rsid w:val="47F80AF4"/>
    <w:rsid w:val="63C35E19"/>
    <w:rsid w:val="787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B31AB-17E3-456C-A361-F03992A3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B0DDC-6956-4183-8722-EB6B7929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凤娇</dc:creator>
  <cp:lastModifiedBy>张亚杰</cp:lastModifiedBy>
  <cp:revision>5</cp:revision>
  <dcterms:created xsi:type="dcterms:W3CDTF">2021-12-15T05:07:00Z</dcterms:created>
  <dcterms:modified xsi:type="dcterms:W3CDTF">2023-12-26T13:13:00Z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